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02:59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25 лет обратилась на прием дерматовенеролога.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высыпаний на коже туловища, задней поверхности шеи и верхних конечностей, сопровождающиеся интенсивным зудом.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с 7 лет, когда впервые после употребления в пищу 250 мл цельного коровьего молока появились эритематозно-везикулёзные высыпания на коже щёк, эритематозно-папулёзные на коже туловища и конечностей. Обращалась к дерматологу. Назначались антигистаминные препараты и топические глюкокортикостероиды – с временным положительным эффектом. Кратность обострений заболевания составляла 1 раз в 2-3 года, преимущественно в зимне-осеннее время.</w:t>
      </w:r>
    </w:p>
    <w:p>
      <w:pPr>
        <w:spacing w:after="58"/>
      </w:pPr>
      <w:r>
        <w:rPr>
          <w:b w:val="0"/>
          <w:i w:val="0"/>
        </w:rPr>
        <w:t>Следует отметить, что больная периодически применяла топические глюкокортикостероиды – с временным положительным эффектом. Три недели назад больная отмечала периодическое появление новых очагов лихенификации в области сгибательной поверхности локтевых суставов, задней поверхности шеи и туловища, сопровождавшихся интенсивным зудом. Самостоятельно применяла увлажняющие кремы и мази с глюкокортикостероидами – с незначительным положительным эффектом.</w:t>
      </w:r>
    </w:p>
    <w:p>
      <w:pPr>
        <w:spacing w:after="58"/>
      </w:pPr>
      <w:r>
        <w:rPr>
          <w:b w:val="0"/>
          <w:i w:val="0"/>
        </w:rPr>
        <w:t>Настоящее обострение возникло неделю назад, когда после перенесенной острой респираторной вирусной инфекции (ОРВИ) отметила появление эритемы, шелушения на коже туловища и верхних конечностей, а позже – распространенных везикулезных элементов, сопровождавшихся интенсивным зудом и повышением температуры до 38.10С, в связи с чем обратилась к дерматологу для уточнения диагноза и дальнейшей тактики ведения.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Хронический ринит (ремиссия).</w:t>
      </w:r>
    </w:p>
    <w:p>
      <w:pPr>
        <w:spacing w:after="58"/>
      </w:pPr>
      <w:r>
        <w:rPr>
          <w:b w:val="0"/>
          <w:i w:val="0"/>
        </w:rPr>
        <w:t>* Не курит.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Аллергическая реакция на клиндамицин в виде высыпаний и зуда.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56 кг, рост 170 см. Температура тела 38.10С.</w:t>
      </w:r>
    </w:p>
    <w:p>
      <w:pPr>
        <w:spacing w:after="58"/>
      </w:pPr>
      <w:r>
        <w:rPr>
          <w:b w:val="0"/>
          <w:i w:val="0"/>
        </w:rPr>
        <w:t>Поражение кожи островоспалительного характера. Высыпания локализуются на коже задней поверхности шеи, туловища, тыльной поверхности кистей, сгибательной поверхности локтевых суставов, предплечий, плеч и представлены лихенифицированными очагами поражения, ярко-розового цвета, с резкими границами, плоской формы, неправильных очертаний и множественными мелкими сгруппированными везикулезными элементами с пупковидным вдавлением в центре, распространенными пустулами, шелушением и экскориациями на поверхности. Субъективно: беспокоит интенсивный зуд. SCORAD=30.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977639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4b874c927ec5ddb7b84d054c7ab51250c215d3a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93620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d65ba1519e42594a525d43d270c524067268eae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362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подтверждения диагноза необходимо исследовать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ТТГ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прямого билирубина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холестерина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общего IgE</w:t>
      </w:r>
    </w:p>
    <w:p>
      <w:pPr>
        <w:ind w:left="504"/>
      </w:pPr>
      <w:r>
        <w:rPr>
          <w:b w:val="0"/>
          <w:i/>
        </w:rPr>
        <w:t>Одним из главных лабораторных исследований относят определение уровня общего IgE. Аллергены вызывают острые IgE-опосредованные тучно-клеточно зависимые обострения заболевания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подтверждения диагноза необходимо дополнительно исследовать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патогистологическое исследование биоптата везикулезных очагов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специфический IgE к пищевым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содержание IgA-антител к эндомизию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содержание IgA-антител к тканевой трансглютаминазе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специфический IgE к пищевым аллергенам</w:t>
      </w:r>
    </w:p>
    <w:p>
      <w:pPr>
        <w:ind w:left="504"/>
      </w:pPr>
      <w:r>
        <w:rPr>
          <w:b w:val="0"/>
          <w:i/>
        </w:rPr>
        <w:t>У больной наблюдалась сенсибилизация к коровьему молоку, что говорит о необходимости исследования специфического IgE к пищевому аллергену. При данном заболевании необходимо исследовать уровень IgE к различным аллергенам (пищевым, бытовым, антигенам растительного, животного, химического происхождения)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вероятный диагноз для данной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осложненный вторичной пиодермией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Хроническая экзема, осложненная герпесвирусной 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Простой герпес (диссеминированная форма), остиофолликулит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осложненный герпетической экземой Капоши и вторичной пиодермией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Атопический дерматит, осложненный герпетической экземой Капоши и вторичной пиодермией</w:t>
      </w:r>
    </w:p>
    <w:p>
      <w:pPr>
        <w:ind w:left="504"/>
      </w:pPr>
      <w:r>
        <w:rPr>
          <w:b w:val="0"/>
          <w:i/>
        </w:rPr>
        <w:t>Критерии диагноза атопический дерматит:</w:t>
        <w:br/>
        <w:br/>
        <w:t>Критерии герпетиформной экземы Капоши:</w:t>
        <w:br/>
        <w:br/>
        <w:t>Критерии вторичной пиодермии:</w:t>
        <w:br/>
        <w:br/>
        <w:t>{nbsp}</w:t>
        <w:br/>
        <w:t>Клинические данные: повышение температуры тела до 38.10С, появление диссеминированных пустулезных элементов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Атопический дерматит / С. В. Кошкин, М. Б. Дрождина. - Москва : ГЭОТАР-Медиа, 2020. - 112 с. (Серия "Библиотека врача-специалиста") - ISBN 978-5-9704-5793-1.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Дерматовенерология. Национальное руководство. Краткое издание / под ред. Ю. С. Бутова, Ю. К. Скрипкина, О. Л. Иванова. - Москва : ГЭОТАР-Медиа, 2020. - 896 с. - 896 с. - ISBN 978-5-9704-5708-5</w:t>
        <w:br/>
        <w:br/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главным диагностическим критериям атопического дерматита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складки на задней поверхности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красный дермографизм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начало заболевания во взрослом возрасте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сезонность обострений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сезонность обострений</w:t>
      </w:r>
    </w:p>
    <w:p>
      <w:pPr>
        <w:ind w:left="504"/>
      </w:pPr>
      <w:r>
        <w:rPr>
          <w:b w:val="0"/>
          <w:i/>
        </w:rPr>
        <w:t>Согласно клиническим рекомендациям Дерматовенерология (2015 г.) к одному из главных диагностических критериев атопического дерматита относят сезонность обострений (ухудшение процесса в холодное время года и улучшение летом)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Дальнейшее обследование и лечение пациента должно проводиться в условиях +_________________+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амбулаторного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«дневного стационара»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терапевтического</w:t>
      </w:r>
    </w:p>
    <w:p>
      <w:pPr>
        <w:ind w:left="504"/>
      </w:pPr>
      <w:r>
        <w:rPr>
          <w:b w:val="0"/>
          <w:i/>
        </w:rPr>
        <w:t>Согласно условиям задачи, у больной отмечается атопический дерматит средней степени тяжести (SCORAD=30), осложненный герпетической экземой Капоши и вторичной пиодермией, что требует лечения в стационарных условиях.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объеме системной терапии 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седативных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циклоспорина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метотрексата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седативных антигистаминных препаратов</w:t>
      </w:r>
    </w:p>
    <w:p>
      <w:pPr>
        <w:ind w:left="504"/>
      </w:pPr>
      <w:r>
        <w:rPr>
          <w:b w:val="0"/>
          <w:i/>
        </w:rPr>
        <w:t>У больной отмечается среднетяжелая степень рецидивирующего атопического дерматита (SCORAD=30, интенсивный зуд)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патогенетической терапии данной формы дерматита необходимо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преднизолона 60 мг/сут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цефуроксима 750 мг в/м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ацикловира 1000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 натриевой соли 2000000 ЕД/сут в/м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ацикловира 1000 мг/сутки</w:t>
      </w:r>
    </w:p>
    <w:p>
      <w:pPr>
        <w:ind w:left="504"/>
      </w:pPr>
      <w:r>
        <w:rPr>
          <w:b w:val="0"/>
          <w:i/>
        </w:rPr>
        <w:t>У больной развилось осложнение – герпетическая экзема Капоши. Герпетическая экзема Капоши, или вариолиформный пустулез Юлиусберга – это осложнение хронических дерматозов, в данном случае атопического дерматита, спровоцированное вирусом простого герпеса.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истинной акантолитической пузырчаткой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рожистым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герпетиформным дерматитом Дюринга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аллергическим контактным дерматитом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рожистым воспалением</w:t>
      </w:r>
    </w:p>
    <w:p>
      <w:pPr>
        <w:ind w:left="504"/>
      </w:pPr>
      <w:r>
        <w:rPr>
          <w:b w:val="0"/>
          <w:i/>
        </w:rPr>
        <w:t>В отличие от ОГ рожа характеризуется более яркой гиперемией, большей отграниченностью отека от окружающей здоровой кожи, валикообразными, неровными краями.</w:t>
        <w:br/>
        <w:br/>
      </w:r>
      <w:hyperlink r:id="rId39">
        <w:r>
          <w:rPr>
            <w:color w:val="173C49"/>
            <w:u w:val="single"/>
          </w:rPr>
          <w:t>КЛИНИЧЕСКИЕ РЕКОМЕНДАЦИИ. ПРОСТОЙ ГЕРПЕС У ВЗРОСЛЫХ, 2014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Топической терапией, которую необходимо назначить больной,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 Ацикловир, мази с антибиотиком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топические ГКС мази,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эмоленты, мазь Ацикловир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мазь Ацикловир, мази с антибиотиком</w:t>
      </w:r>
    </w:p>
    <w:p>
      <w:pPr>
        <w:ind w:left="504"/>
      </w:pPr>
      <w:r>
        <w:rPr>
          <w:b w:val="0"/>
          <w:i/>
        </w:rPr>
        <w:t>У больной наблюдаются клинические проявления герпесвирусной инфекции и пиодермии, что требует назначения мазей с антибиотиками и противовирусных топических препаратов.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Применение топических глюкокортикостероидов противопоказано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микробной экземе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вирусных инфекциях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дискоидной красной волчанке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вирусных инфекциях кожи</w:t>
      </w:r>
    </w:p>
    <w:p>
      <w:pPr>
        <w:ind w:left="504"/>
      </w:pPr>
      <w:r>
        <w:rPr>
          <w:b w:val="0"/>
          <w:i/>
        </w:rPr>
        <w:t>Поскольку топические глюкокортикостероиды обладают выраженным иммуносупрессивным действием, топические глюкокортикостероиды противопоказаны при лечении вирусных инфекций кожи.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2016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Использование топических глюкокортикостероидов высокой активности в течение длительного времени при беременности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подавлению функции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внутриутробной задержке роста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тератогенному эффекту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увеличению уровня андренокортикотропного гормона у плода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внутриутробной задержке роста плода</w:t>
      </w:r>
    </w:p>
    <w:p>
      <w:pPr>
        <w:ind w:left="504"/>
      </w:pPr>
      <w:r>
        <w:rPr>
          <w:b w:val="0"/>
          <w:i/>
        </w:rPr>
        <w:t>Согласно клиническим рекомендациям по Дерматовенерологии (2015 г.) длительное применение топических глюкокортикостероидов может привести к внутриутробной задержке роста плода.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2016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Пимекролимус можно назначать детям с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двух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трех месяцев</w:t>
      </w:r>
    </w:p>
    <w:p>
      <w:pPr>
        <w:ind w:left="504"/>
      </w:pPr>
      <w:r>
        <w:rPr>
          <w:b w:val="0"/>
          <w:i/>
        </w:rPr>
        <w:t>Согласно клиническим рекомендациям пимекролимус необходимо назначать с трех месяцев.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18 лет обратилась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выделения из половых путей, появление неприятного запаха, жжения.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После антибиотикотерапии по поводу обострения хронического тонзиллита отметила появление выделений с неприятным, «рыбным» запахом.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Половой жизнью не живет.</w:t>
      </w:r>
    </w:p>
    <w:p>
      <w:pPr>
        <w:spacing w:after="58"/>
      </w:pPr>
      <w:r>
        <w:rPr>
          <w:b w:val="0"/>
          <w:i w:val="0"/>
        </w:rPr>
        <w:t>Курит в течение 2 лет по 3-5 сигарет в день, алкоголь не употребляет.</w:t>
      </w:r>
    </w:p>
    <w:p>
      <w:pPr>
        <w:spacing w:after="58"/>
      </w:pPr>
      <w:r>
        <w:rPr>
          <w:b w:val="0"/>
          <w:i w:val="0"/>
        </w:rPr>
        <w:t>В анамнезе хронический тонзиллит, дискинезия желчевыводящих путей.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объективном осмотре: наружные половые органы развиты правильно, видимые слизистые розового цвета, не отечные, без признаков воспаления. Имеются гомогенные беловато-серые вагинальные выделения густой консистенции, равномерно распределяющиеся по слизистой оболочке вульвы и влагалища. Шейка матки цилиндрической формы, не отечная. Наружный зев округлый, замкнут. Матка в anteflexio, не увеличена, при смещении безболезненная. Придатки не пальпируются, безболезненные. При ректальном исследовании: стенки кишки эластичные. Просвет кишки обычный. Патологического содержимого в просвете нет. Складки слизистой подвижные. Слизистая обычного цвета. Ранимость слизистой отсутствует. Сфинктер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темнопольной микроскопии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иммуноферментного анализа с определением антител к Сhlamidia trahomatis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реакции микропреципитации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микроскопического исследования</w:t>
      </w:r>
    </w:p>
    <w:p>
      <w:pPr>
        <w:ind w:left="504"/>
      </w:pPr>
      <w:r>
        <w:rPr>
          <w:b w:val="0"/>
          <w:i/>
        </w:rPr>
        <w:t>Рекомендуется верификация диагноза бактериального вагиноза на основании результатов лабораторных исследований микроскопическим методом, направленным на выявление «ключевых» клеток, микробиологическим методом с целью определения видового и количественного состава микробиоты влагалища, молекулярно-биологическим методом, позволяющим выявление специфических фрагментов ДНК микроорганизмов, ассоциированных с БВ, в частности, трудно культивируемых, с использованием тест-систем, разрешенных к медицинскому применению в Российской Федерации.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2.3Лабораторная диагностика.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клинико-анамнестических данных и результатов лабораторного обследования наиболее вероятным диагнозом у данной пациентки будет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Хламидийная 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Бактериальный вагиноз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Урогенитальный трихомониаз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Гонококковая 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Бактериальный вагиноз</w:t>
      </w:r>
    </w:p>
    <w:p>
      <w:pPr>
        <w:ind w:left="504"/>
      </w:pPr>
      <w:r>
        <w:rPr>
          <w:b w:val="0"/>
          <w:i/>
        </w:rPr>
        <w:t>диагноз бактериального вагиноза устанавливается на основании выявления трех из четырех критериевAmsel:</w:t>
        <w:br/>
        <w:br/>
        <w:t>* гомогенные беловато-серые выделения из половых путей, с неприятным «рыбным»запахом;</w:t>
        <w:br/>
        <w:br/>
        <w:t>* рН влагалищных выделений выше 4,5;</w:t>
        <w:br/>
        <w:br/>
        <w:t>* положительный аминотест;</w:t>
        <w:br/>
        <w:br/>
        <w:t>* выявление «ключевых» клеток при микроскопии влагалищных выделений.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2.5 Иная диагностика.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микроскопического исследования при данной патологии также будет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псевдомицелия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атипичных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или исчезновение лактобацилл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уменьшение кокковой микробиоты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уменьшение или исчезновение лактобацилл</w:t>
      </w:r>
    </w:p>
    <w:p>
      <w:pPr>
        <w:ind w:left="504"/>
      </w:pPr>
      <w:r>
        <w:rPr>
          <w:b w:val="0"/>
          <w:i/>
        </w:rPr>
        <w:t>при микроскопическом исследовании, кроме выявления «ключевых» клеток, необходимо отмечать уменьшение количества или исчезновение лактобацилл; увеличение количества смешанной микробной (не лактобациллярной) микробиоты; отсутствие местной лейкоцитарной реакции. Культуральное исследованиеможет применяться для определения видового и количественного состава микробиоты влагалища. Для оценки результатов микроскопического и культурального исследования используется комплексная система выявления нарушения микробиоты влагалища «Интегральная оценка состояния микробиоты влагалища. Диагностика оппортунистических инфекций».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2.3 Лабораторная диагностика.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качестве основной терапии пациенту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клиндамицин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меропенем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клиндамицин</w:t>
      </w:r>
    </w:p>
    <w:p>
      <w:pPr>
        <w:ind w:left="504"/>
      </w:pPr>
      <w:r>
        <w:rPr>
          <w:b w:val="0"/>
          <w:i/>
        </w:rPr>
        <w:t>Рекомендованные схемы лечения - клиндамицин, крем 2% 5,0 г интравагинально 1 раз в сутки (на ночь) в течение 7 дней (А).</w:t>
        <w:br/>
        <w:br/>
        <w:t>Федеральные клинические рекомендации. Дерматовенерология 2017: Болезни кожи. Инфекции, передаваемые половым путем. Бактериальный вагиноз.</w:t>
        <w:br/>
        <w:br/>
        <w:t>Раздел 3.1 Консервативное лечение.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Клиндамицин предпочтительнее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внутримышечно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местно</w:t>
      </w:r>
    </w:p>
    <w:p>
      <w:pPr>
        <w:ind w:left="504"/>
      </w:pPr>
      <w:r>
        <w:rPr>
          <w:b w:val="0"/>
          <w:i/>
        </w:rPr>
        <w:t>Рекомендованные схемы лечения - клиндамицин, крем 2% 5,0 г интравагинально 1 раз в сутки (на ночь)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50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альтернативы больной 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гентамицин мазь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 гель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бетаметазон крем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кетоконазол крем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метронидазол гель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метронидазол, гель0,75% 5,0 г интравагинально 1 раз в сутки (на ночь) в течение 5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50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системной терапии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вориконазол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азитромицин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метронидазол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 500,0 мг перорально 2 раза в сутки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50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Метронидазол назначается в дозировке +______+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500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 500,0 мг перорально 2 раза в сутки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50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качестве лечения у беременных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системную 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системную терапию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 250,0 мг перорально 3 раза в сутки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50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диагностики бактериального вагиноза используют критерии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_Amsel_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_SCORAD_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_PASI_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_SOFA_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_Amsel_</w:t>
      </w:r>
    </w:p>
    <w:p>
      <w:pPr>
        <w:ind w:left="504"/>
      </w:pPr>
      <w:r>
        <w:rPr>
          <w:b w:val="0"/>
          <w:i/>
        </w:rPr>
        <w:t>Диагноз бактериального вагиноза устанавливается на основании выявления трех из четырех критериев Amsel.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2.5 Иная диагностика.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предрасполагающему фактору развития бактериального вагиноза у данной больной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гинекологический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обострение тонзиллита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антибиотикотерапия</w:t>
      </w:r>
    </w:p>
    <w:p>
      <w:pPr>
        <w:ind w:left="504"/>
      </w:pPr>
      <w:r>
        <w:rPr>
          <w:b w:val="0"/>
          <w:i/>
        </w:rPr>
        <w:t>К экзогенным факторам риска развития БВ относятся: инфицирование возбудителями ИППП и колонизация половых путей генитальными микоплазмами, лекарственная терапия (антибактериальными, цитостатическими, глюкокортикостероидными, антимикотическими препаратами), лучевая терапия; присутствие инородных тел во влагалище и матке; пороки развития половых органов или их деформации после родов и хирургических вмешательств; нарушение гигиены половых органов, в том числе, частое применение спринцеваний и вагинальных душей; использование спермицидов.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1.2 Этиология и патогенез.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Ведущую роль в патогенезе бактериального вагиноза отводят увеличению содержания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_Staphylococcus epidermidis_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_Gardnerella vaginalis_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_Trichomonas hominis_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_Candida albicans_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_Gardnerella vaginalis_</w:t>
      </w:r>
    </w:p>
    <w:p>
      <w:pPr>
        <w:ind w:left="504"/>
      </w:pPr>
      <w:r>
        <w:rPr>
          <w:b w:val="0"/>
          <w:i/>
        </w:rPr>
        <w:t>БВ – полимикробноедисбиотическое заболевание, при котором резко уменьшается количество Lactobacillusspp. и увеличивается количество факультативных и облигатных анаэробов и микроаэрофилов (Gardnerell| vaginalis,Peptostreptococcus, Clostridialesspp., Prevotellaspp., Bacteroides,Fusobacterium,Veillonella,Eubacterium, Atopobiumvaginaе, Mobiluncusspp., Megasphaera, Sneathia,Leptotrichiaspp., Sneathiaspp., Mycoplasmahominis,Ureaplasmaurealyticum, Streptococcusviridians). На современном этапе признается ведущая роль Gardnerellavaginalis и Atopobiumvaginae в этиопатогенезе БВ.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1.2 Этиология и патогенез.</w:t>
        <w:br/>
        <w:br/>
      </w:r>
      <w:hyperlink r:id="rId45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65_24/" TargetMode="External"/><Relationship Id="rId23" Type="http://schemas.openxmlformats.org/officeDocument/2006/relationships/hyperlink" Target="https://library.mededtech.ru/rest/documents/KP265_24/#list_item_u2tean" TargetMode="External"/><Relationship Id="rId24" Type="http://schemas.openxmlformats.org/officeDocument/2006/relationships/hyperlink" Target="https://library.mededtech.ru/rest/documents/KP265_24/#list_item_5vh2gq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492_2/" TargetMode="External"/><Relationship Id="rId27" Type="http://schemas.openxmlformats.org/officeDocument/2006/relationships/hyperlink" Target="https://library.mededtech.ru/rest/documents/KP492_2/index.html#list_item_t0hv3f" TargetMode="External"/><Relationship Id="rId28" Type="http://schemas.openxmlformats.org/officeDocument/2006/relationships/hyperlink" Target="https://library.mededtech.ru/rest/documents/ISBN9785970457931/?anchor=list_item_oajstc#list_item_oajstc" TargetMode="External"/><Relationship Id="rId29" Type="http://schemas.openxmlformats.org/officeDocument/2006/relationships/hyperlink" Target="https://library.mededtech.ru/rest/documents/ISBN9785970457085/?anchor=paragraph_gdudpe#paragraph_gdudpe" TargetMode="External"/><Relationship Id="rId30" Type="http://schemas.openxmlformats.org/officeDocument/2006/relationships/hyperlink" Target="https://library.mededtech.ru/rest/documents/KP265_24/#paragraph_c48vjf" TargetMode="External"/><Relationship Id="rId31" Type="http://schemas.openxmlformats.org/officeDocument/2006/relationships/hyperlink" Target="https://library.mededtech.ru/rest/documents/KP265_24/#paragraph_b1l343" TargetMode="External"/><Relationship Id="rId32" Type="http://schemas.openxmlformats.org/officeDocument/2006/relationships/hyperlink" Target="https://library.mededtech.ru/rest/documents/KP265_24/#list_item_o1s3bq" TargetMode="External"/><Relationship Id="rId33" Type="http://schemas.openxmlformats.org/officeDocument/2006/relationships/hyperlink" Target="https://library.mededtech.ru/rest/documents/KP265_24/#list_item_a91m6m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65_24/#list_item_7clcq9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KP492_2/index.html#paragraph_4kojbe" TargetMode="External"/><Relationship Id="rId38" Type="http://schemas.openxmlformats.org/officeDocument/2006/relationships/hyperlink" Target="https://library.mededtech.ru/rest/documents/KP492_2/index.html#paragraph_h1tg8o" TargetMode="External"/><Relationship Id="rId39" Type="http://schemas.openxmlformats.org/officeDocument/2006/relationships/hyperlink" Target="https://library.mededtech.ru/rest/documents/Herp_simp_adultpdf9/" TargetMode="External"/><Relationship Id="rId40" Type="http://schemas.openxmlformats.org/officeDocument/2006/relationships/hyperlink" Target="https://library.mededtech.ru/rest/documents/Herp_simp_adultpdf9/#list_item_l7oool" TargetMode="External"/><Relationship Id="rId41" Type="http://schemas.openxmlformats.org/officeDocument/2006/relationships/hyperlink" Target="https://library.mededtech.ru/rest/documents/KP265_24/#paragraph_t3b1s2" TargetMode="External"/><Relationship Id="rId42" Type="http://schemas.openxmlformats.org/officeDocument/2006/relationships/hyperlink" Target="https://library.mededtech.ru/rest/documents/cr_341" TargetMode="External"/><Relationship Id="rId43" Type="http://schemas.openxmlformats.org/officeDocument/2006/relationships/hyperlink" Target="https://library.mededtech.ru/rest/documents/cr_341/#paragraph_7kglo" TargetMode="External"/><Relationship Id="rId44" Type="http://schemas.openxmlformats.org/officeDocument/2006/relationships/hyperlink" Target="https://library.mededtech.ru/rest/documents/KP265_24/#list_item_7gfd79" TargetMode="External"/><Relationship Id="rId45" Type="http://schemas.openxmlformats.org/officeDocument/2006/relationships/hyperlink" Target="https://library.mededtech.ru/rest/documents/cr_724" TargetMode="External"/><Relationship Id="rId46" Type="http://schemas.openxmlformats.org/officeDocument/2006/relationships/hyperlink" Target="https://library.mededtech.ru/rest/documents/cr_724/#list_item_5tgf5" TargetMode="External"/><Relationship Id="rId47" Type="http://schemas.openxmlformats.org/officeDocument/2006/relationships/hyperlink" Target="https://library.mededtech.ru/rest/documents/cr_724/#paragraph_6nn2n" TargetMode="External"/><Relationship Id="rId48" Type="http://schemas.openxmlformats.org/officeDocument/2006/relationships/hyperlink" Target="https://library.mededtech.ru/rest/documents/cr_724/#paragraph_hq730" TargetMode="External"/><Relationship Id="rId49" Type="http://schemas.openxmlformats.org/officeDocument/2006/relationships/hyperlink" Target="https://library.mededtech.ru/rest/documents/cr_724/#paragraph_qdg6e" TargetMode="External"/><Relationship Id="rId50" Type="http://schemas.openxmlformats.org/officeDocument/2006/relationships/hyperlink" Target="https://library.mededtech.ru/rest/documents/Rek" TargetMode="External"/><Relationship Id="rId51" Type="http://schemas.openxmlformats.org/officeDocument/2006/relationships/hyperlink" Target="https://library.mededtech.ru/rest/documents/Rek/index.html#tab6" TargetMode="External"/><Relationship Id="rId52" Type="http://schemas.openxmlformats.org/officeDocument/2006/relationships/hyperlink" Target="https://library.mededtech.ru/rest/documents/Rek/index.html#&#1054;&#1073;&#1097;&#1080;&#1077;_&#1079;&#1072;&#1084;&#1077;&#1095;&#1072;&#1085;&#1080;&#1103;_&#1087;&#1086;_&#1092;&#1072;&#1088;&#1084;&#1072;&#1082;&#1086;&#1090;&#1077;&#1088;&#1072;&#1087;&#1080;&#1080;" TargetMode="External"/><Relationship Id="rId53" Type="http://schemas.openxmlformats.org/officeDocument/2006/relationships/hyperlink" Target="https://library.mededtech.ru/rest/documents/Rek/index.html#&#1041;&#1077;&#1088;&#1077;&#1084;&#1077;&#1085;&#1085;&#1086;&#1089;&#1090;&#1100;" TargetMode="External"/><Relationship Id="rId54" Type="http://schemas.openxmlformats.org/officeDocument/2006/relationships/hyperlink" Target="https://library.mededtech.ru/rest/documents/cr_724/#paragraph_vma0f" TargetMode="External"/><Relationship Id="rId55" Type="http://schemas.openxmlformats.org/officeDocument/2006/relationships/hyperlink" Target="https://library.mededtech.ru/rest/documents/cr_724/#paragraph_l82u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